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8B0AB6" w:rsidRDefault="008B0AB6" w:rsidP="008B0AB6">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Pr>
          <w:rFonts w:eastAsia="標楷體" w:hint="eastAsia"/>
          <w:b/>
        </w:rPr>
        <w:t>教育部體育署</w:t>
      </w:r>
      <w:r w:rsidR="00520442">
        <w:rPr>
          <w:rFonts w:ascii="標楷體" w:eastAsia="標楷體" w:hAnsi="標楷體" w:cs="Arial Unicode MS" w:hint="eastAsia"/>
          <w:spacing w:val="-4"/>
        </w:rPr>
        <w:t>招標採購</w:t>
      </w:r>
      <w:bookmarkStart w:id="0" w:name="_GoBack"/>
      <w:bookmarkEnd w:id="0"/>
      <w:r w:rsidR="00BA7998" w:rsidRPr="00BA7998">
        <w:rPr>
          <w:rFonts w:ascii="標楷體" w:eastAsia="標楷體" w:hint="eastAsia"/>
          <w:bCs/>
          <w:color w:val="FF0000"/>
          <w:u w:val="single"/>
        </w:rPr>
        <w:t>中華民國帆船協會「2016里約奧林匹克運動會」購置培訓隊訓練器材及優秀運動選手訓練站改善運動訓練環境設施及設備採購案(資本門)</w:t>
      </w:r>
      <w:r w:rsidR="00520442">
        <w:rPr>
          <w:rFonts w:ascii="標楷體" w:eastAsia="標楷體" w:hint="eastAsia"/>
          <w:bCs/>
          <w:color w:val="FF0000"/>
          <w:u w:val="single"/>
        </w:rPr>
        <w:t xml:space="preserve"> </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8B0AB6"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（104.1.27版）</w:t>
      </w:r>
    </w:p>
    <w:sectPr w:rsidR="003B58E1" w:rsidRPr="008B0AB6">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56" w:rsidRDefault="00D67656">
      <w:r>
        <w:separator/>
      </w:r>
    </w:p>
  </w:endnote>
  <w:endnote w:type="continuationSeparator" w:id="0">
    <w:p w:rsidR="00D67656" w:rsidRDefault="00D6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D67656">
    <w:pPr>
      <w:pStyle w:val="a3"/>
      <w:framePr w:wrap="auto" w:vAnchor="text" w:hAnchor="margin" w:xAlign="center" w:y="1"/>
      <w:rPr>
        <w:rStyle w:val="a5"/>
      </w:rPr>
    </w:pPr>
  </w:p>
  <w:p w:rsidR="00BC64F6" w:rsidRDefault="00D676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56" w:rsidRDefault="00D67656">
      <w:r>
        <w:separator/>
      </w:r>
    </w:p>
  </w:footnote>
  <w:footnote w:type="continuationSeparator" w:id="0">
    <w:p w:rsidR="00D67656" w:rsidRDefault="00D6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6"/>
    <w:rsid w:val="003B58E1"/>
    <w:rsid w:val="00492F16"/>
    <w:rsid w:val="00520442"/>
    <w:rsid w:val="00734293"/>
    <w:rsid w:val="007873DD"/>
    <w:rsid w:val="008B0AB6"/>
    <w:rsid w:val="00BA7998"/>
    <w:rsid w:val="00D67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520442"/>
    <w:pPr>
      <w:tabs>
        <w:tab w:val="center" w:pos="4153"/>
        <w:tab w:val="right" w:pos="8306"/>
      </w:tabs>
      <w:snapToGrid w:val="0"/>
    </w:pPr>
    <w:rPr>
      <w:sz w:val="20"/>
    </w:rPr>
  </w:style>
  <w:style w:type="character" w:customStyle="1" w:styleId="a7">
    <w:name w:val="頁首 字元"/>
    <w:basedOn w:val="a0"/>
    <w:link w:val="a6"/>
    <w:uiPriority w:val="99"/>
    <w:rsid w:val="0052044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520442"/>
    <w:pPr>
      <w:tabs>
        <w:tab w:val="center" w:pos="4153"/>
        <w:tab w:val="right" w:pos="8306"/>
      </w:tabs>
      <w:snapToGrid w:val="0"/>
    </w:pPr>
    <w:rPr>
      <w:sz w:val="20"/>
    </w:rPr>
  </w:style>
  <w:style w:type="character" w:customStyle="1" w:styleId="a7">
    <w:name w:val="頁首 字元"/>
    <w:basedOn w:val="a0"/>
    <w:link w:val="a6"/>
    <w:uiPriority w:val="99"/>
    <w:rsid w:val="0052044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FAN</cp:lastModifiedBy>
  <cp:revision>4</cp:revision>
  <dcterms:created xsi:type="dcterms:W3CDTF">2015-05-31T05:03:00Z</dcterms:created>
  <dcterms:modified xsi:type="dcterms:W3CDTF">2015-12-21T08:23:00Z</dcterms:modified>
</cp:coreProperties>
</file>